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3F" w:rsidRPr="00EE13E3" w:rsidRDefault="00FB66B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-498475</wp:posOffset>
                </wp:positionV>
                <wp:extent cx="619125" cy="2190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C20" w:rsidRPr="006F4C20" w:rsidRDefault="006F4C2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F4C2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5.45pt;margin-top:-39.25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">
                <v:textbox inset="5.85pt,.7pt,5.85pt,.7pt">
                  <w:txbxContent>
                    <w:p w:rsidR="006F4C20" w:rsidRPr="006F4C20" w:rsidRDefault="006F4C2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F4C2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参考１</w:t>
                      </w:r>
                    </w:p>
                  </w:txbxContent>
                </v:textbox>
              </v:rect>
            </w:pict>
          </mc:Fallback>
        </mc:AlternateContent>
      </w:r>
      <w:r w:rsidR="009A7A99" w:rsidRPr="00EE13E3">
        <w:rPr>
          <w:rFonts w:asciiTheme="majorEastAsia" w:eastAsiaTheme="majorEastAsia" w:hAnsiTheme="majorEastAsia" w:hint="eastAsia"/>
        </w:rPr>
        <w:t>＜</w:t>
      </w:r>
      <w:r w:rsidR="0077604A">
        <w:rPr>
          <w:rFonts w:asciiTheme="majorEastAsia" w:eastAsiaTheme="majorEastAsia" w:hAnsiTheme="majorEastAsia" w:hint="eastAsia"/>
        </w:rPr>
        <w:t>業務報告書で記載</w:t>
      </w:r>
      <w:r w:rsidR="00EE13E3">
        <w:rPr>
          <w:rFonts w:asciiTheme="majorEastAsia" w:eastAsiaTheme="majorEastAsia" w:hAnsiTheme="majorEastAsia" w:hint="eastAsia"/>
        </w:rPr>
        <w:t>を間違え</w:t>
      </w:r>
      <w:r w:rsidR="009A7A99" w:rsidRPr="00EE13E3">
        <w:rPr>
          <w:rFonts w:asciiTheme="majorEastAsia" w:eastAsiaTheme="majorEastAsia" w:hAnsiTheme="majorEastAsia" w:hint="eastAsia"/>
        </w:rPr>
        <w:t>やすい</w:t>
      </w:r>
      <w:r w:rsidR="007B13DE">
        <w:rPr>
          <w:rFonts w:asciiTheme="majorEastAsia" w:eastAsiaTheme="majorEastAsia" w:hAnsiTheme="majorEastAsia" w:hint="eastAsia"/>
        </w:rPr>
        <w:t>点</w:t>
      </w:r>
      <w:r w:rsidR="00F54B3F" w:rsidRPr="00EE13E3">
        <w:rPr>
          <w:rFonts w:asciiTheme="majorEastAsia" w:eastAsiaTheme="majorEastAsia" w:hAnsiTheme="majorEastAsia" w:hint="eastAsia"/>
        </w:rPr>
        <w:t>＞</w:t>
      </w:r>
    </w:p>
    <w:p w:rsidR="00F54B3F" w:rsidRPr="007B13DE" w:rsidRDefault="00F54B3F"/>
    <w:p w:rsidR="00253979" w:rsidRDefault="00DB0817" w:rsidP="00253979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253979">
        <w:rPr>
          <w:rFonts w:asciiTheme="majorEastAsia" w:eastAsiaTheme="majorEastAsia" w:hAnsiTheme="majorEastAsia" w:hint="eastAsia"/>
        </w:rPr>
        <w:t>業務報告書の</w:t>
      </w:r>
      <w:r w:rsidR="0077604A" w:rsidRPr="00253979">
        <w:rPr>
          <w:rFonts w:asciiTheme="majorEastAsia" w:eastAsiaTheme="majorEastAsia" w:hAnsiTheme="majorEastAsia" w:hint="eastAsia"/>
        </w:rPr>
        <w:t>記載</w:t>
      </w:r>
      <w:r w:rsidRPr="00253979">
        <w:rPr>
          <w:rFonts w:asciiTheme="majorEastAsia" w:eastAsiaTheme="majorEastAsia" w:hAnsiTheme="majorEastAsia" w:hint="eastAsia"/>
        </w:rPr>
        <w:t>対象</w:t>
      </w:r>
    </w:p>
    <w:p w:rsidR="00DF2B8F" w:rsidRPr="001E16DC" w:rsidRDefault="00253979" w:rsidP="001E16DC">
      <w:pPr>
        <w:ind w:leftChars="100" w:left="210"/>
        <w:rPr>
          <w:rFonts w:asciiTheme="minorEastAsia" w:hAnsiTheme="minorEastAsia"/>
        </w:rPr>
      </w:pPr>
      <w:r w:rsidRPr="001E16DC">
        <w:rPr>
          <w:rFonts w:asciiTheme="minorEastAsia" w:hAnsiTheme="minorEastAsia" w:hint="eastAsia"/>
        </w:rPr>
        <w:t xml:space="preserve">　業務報告書の記載対象となるのは</w:t>
      </w:r>
      <w:r w:rsidR="00DB0817" w:rsidRPr="001E16DC">
        <w:rPr>
          <w:rFonts w:asciiTheme="minorEastAsia" w:hAnsiTheme="minorEastAsia" w:hint="eastAsia"/>
        </w:rPr>
        <w:t>「法の規制を受ける貸付け」です。したがって、</w:t>
      </w:r>
      <w:r w:rsidR="0077604A" w:rsidRPr="001E16DC">
        <w:rPr>
          <w:rFonts w:asciiTheme="minorEastAsia" w:hAnsiTheme="minorEastAsia" w:hint="eastAsia"/>
        </w:rPr>
        <w:t>登録</w:t>
      </w:r>
      <w:r w:rsidR="007B13DE" w:rsidRPr="001E16DC">
        <w:rPr>
          <w:rFonts w:asciiTheme="minorEastAsia" w:hAnsiTheme="minorEastAsia" w:hint="eastAsia"/>
        </w:rPr>
        <w:t>不</w:t>
      </w:r>
      <w:r w:rsidR="00030551" w:rsidRPr="001E16DC">
        <w:rPr>
          <w:rFonts w:asciiTheme="minorEastAsia" w:hAnsiTheme="minorEastAsia" w:hint="eastAsia"/>
        </w:rPr>
        <w:t>更新</w:t>
      </w:r>
      <w:r w:rsidR="007B13DE" w:rsidRPr="001E16DC">
        <w:rPr>
          <w:rFonts w:asciiTheme="minorEastAsia" w:hAnsiTheme="minorEastAsia" w:hint="eastAsia"/>
        </w:rPr>
        <w:t>や</w:t>
      </w:r>
      <w:r w:rsidR="00030551" w:rsidRPr="001E16DC">
        <w:rPr>
          <w:rFonts w:asciiTheme="minorEastAsia" w:hAnsiTheme="minorEastAsia" w:hint="eastAsia"/>
        </w:rPr>
        <w:t>廃業により過去の登録</w:t>
      </w:r>
      <w:r w:rsidR="007B13DE" w:rsidRPr="001E16DC">
        <w:rPr>
          <w:rFonts w:asciiTheme="minorEastAsia" w:hAnsiTheme="minorEastAsia" w:hint="eastAsia"/>
        </w:rPr>
        <w:t>（登録番号）</w:t>
      </w:r>
      <w:r w:rsidR="001E16DC">
        <w:rPr>
          <w:rFonts w:asciiTheme="minorEastAsia" w:hAnsiTheme="minorEastAsia" w:hint="eastAsia"/>
        </w:rPr>
        <w:t>を</w:t>
      </w:r>
      <w:r w:rsidR="00030551" w:rsidRPr="001E16DC">
        <w:rPr>
          <w:rFonts w:asciiTheme="minorEastAsia" w:hAnsiTheme="minorEastAsia" w:hint="eastAsia"/>
        </w:rPr>
        <w:t>失効し</w:t>
      </w:r>
      <w:r w:rsidR="00DB0817" w:rsidRPr="001E16DC">
        <w:rPr>
          <w:rFonts w:asciiTheme="minorEastAsia" w:hAnsiTheme="minorEastAsia" w:hint="eastAsia"/>
        </w:rPr>
        <w:t>、</w:t>
      </w:r>
      <w:r w:rsidR="007B13DE" w:rsidRPr="001E16DC">
        <w:rPr>
          <w:rFonts w:asciiTheme="minorEastAsia" w:hAnsiTheme="minorEastAsia" w:hint="eastAsia"/>
        </w:rPr>
        <w:t>再度登録を受けた業者におかれましては、旧</w:t>
      </w:r>
      <w:r w:rsidR="00DF2B8F" w:rsidRPr="001E16DC">
        <w:rPr>
          <w:rFonts w:asciiTheme="minorEastAsia" w:hAnsiTheme="minorEastAsia" w:hint="eastAsia"/>
        </w:rPr>
        <w:t>登録</w:t>
      </w:r>
      <w:r w:rsidR="007B13DE" w:rsidRPr="001E16DC">
        <w:rPr>
          <w:rFonts w:asciiTheme="minorEastAsia" w:hAnsiTheme="minorEastAsia" w:hint="eastAsia"/>
        </w:rPr>
        <w:t>番号</w:t>
      </w:r>
      <w:r w:rsidR="00DF2B8F" w:rsidRPr="001E16DC">
        <w:rPr>
          <w:rFonts w:asciiTheme="minorEastAsia" w:hAnsiTheme="minorEastAsia" w:hint="eastAsia"/>
        </w:rPr>
        <w:t>時</w:t>
      </w:r>
      <w:r w:rsidR="00DB0F1F" w:rsidRPr="001E16DC">
        <w:rPr>
          <w:rFonts w:asciiTheme="minorEastAsia" w:hAnsiTheme="minorEastAsia" w:hint="eastAsia"/>
        </w:rPr>
        <w:t>の</w:t>
      </w:r>
      <w:r w:rsidR="00DB0817" w:rsidRPr="001E16DC">
        <w:rPr>
          <w:rFonts w:asciiTheme="minorEastAsia" w:hAnsiTheme="minorEastAsia" w:hint="eastAsia"/>
        </w:rPr>
        <w:t>貸付け</w:t>
      </w:r>
      <w:r w:rsidR="0035183D" w:rsidRPr="001E16DC">
        <w:rPr>
          <w:rFonts w:asciiTheme="minorEastAsia" w:hAnsiTheme="minorEastAsia" w:hint="eastAsia"/>
        </w:rPr>
        <w:t>の契約</w:t>
      </w:r>
      <w:r w:rsidR="004758A7" w:rsidRPr="001E16DC">
        <w:rPr>
          <w:rFonts w:asciiTheme="minorEastAsia" w:hAnsiTheme="minorEastAsia" w:hint="eastAsia"/>
        </w:rPr>
        <w:t>（</w:t>
      </w:r>
      <w:r w:rsidR="00DB0817" w:rsidRPr="001E16DC">
        <w:rPr>
          <w:rFonts w:asciiTheme="minorEastAsia" w:hAnsiTheme="minorEastAsia" w:hint="eastAsia"/>
        </w:rPr>
        <w:t>手形割引</w:t>
      </w:r>
      <w:r w:rsidR="004758A7" w:rsidRPr="001E16DC">
        <w:rPr>
          <w:rFonts w:asciiTheme="minorEastAsia" w:hAnsiTheme="minorEastAsia" w:hint="eastAsia"/>
        </w:rPr>
        <w:t>を含む。以下同じ）</w:t>
      </w:r>
      <w:r w:rsidR="0035183D" w:rsidRPr="001E16DC">
        <w:rPr>
          <w:rFonts w:asciiTheme="minorEastAsia" w:hAnsiTheme="minorEastAsia" w:hint="eastAsia"/>
        </w:rPr>
        <w:t>に基づく</w:t>
      </w:r>
      <w:r w:rsidR="00DF2B8F" w:rsidRPr="001E16DC">
        <w:rPr>
          <w:rFonts w:asciiTheme="minorEastAsia" w:hAnsiTheme="minorEastAsia" w:hint="eastAsia"/>
        </w:rPr>
        <w:t>債権で残高があるものについても</w:t>
      </w:r>
      <w:r w:rsidR="00DB0817" w:rsidRPr="001E16DC">
        <w:rPr>
          <w:rFonts w:asciiTheme="minorEastAsia" w:hAnsiTheme="minorEastAsia" w:hint="eastAsia"/>
        </w:rPr>
        <w:t>、</w:t>
      </w:r>
      <w:r w:rsidR="00DF2B8F" w:rsidRPr="001E16DC">
        <w:rPr>
          <w:rFonts w:asciiTheme="minorEastAsia" w:hAnsiTheme="minorEastAsia" w:hint="eastAsia"/>
        </w:rPr>
        <w:t>件数（先数）及び残高に含んでください。</w:t>
      </w:r>
    </w:p>
    <w:p w:rsidR="003D75F8" w:rsidRPr="001E16DC" w:rsidRDefault="003D75F8">
      <w:pPr>
        <w:rPr>
          <w:rFonts w:asciiTheme="majorEastAsia" w:eastAsiaTheme="majorEastAsia" w:hAnsiTheme="majorEastAsia"/>
        </w:rPr>
      </w:pPr>
    </w:p>
    <w:p w:rsidR="00253979" w:rsidRDefault="00982862" w:rsidP="00253979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253979">
        <w:rPr>
          <w:rFonts w:asciiTheme="majorEastAsia" w:eastAsiaTheme="majorEastAsia" w:hAnsiTheme="majorEastAsia" w:hint="eastAsia"/>
        </w:rPr>
        <w:t>表</w:t>
      </w:r>
      <w:r w:rsidR="009A7A99" w:rsidRPr="00253979">
        <w:rPr>
          <w:rFonts w:asciiTheme="majorEastAsia" w:eastAsiaTheme="majorEastAsia" w:hAnsiTheme="majorEastAsia" w:hint="eastAsia"/>
        </w:rPr>
        <w:t>２</w:t>
      </w:r>
      <w:r w:rsidRPr="00253979">
        <w:rPr>
          <w:rFonts w:asciiTheme="majorEastAsia" w:eastAsiaTheme="majorEastAsia" w:hAnsiTheme="majorEastAsia" w:hint="eastAsia"/>
        </w:rPr>
        <w:t>「</w:t>
      </w:r>
      <w:r w:rsidR="009A7A99" w:rsidRPr="00253979">
        <w:rPr>
          <w:rFonts w:asciiTheme="majorEastAsia" w:eastAsiaTheme="majorEastAsia" w:hAnsiTheme="majorEastAsia" w:hint="eastAsia"/>
        </w:rPr>
        <w:t>業種別貸付残高」及び</w:t>
      </w:r>
      <w:r w:rsidRPr="00253979">
        <w:rPr>
          <w:rFonts w:asciiTheme="majorEastAsia" w:eastAsiaTheme="majorEastAsia" w:hAnsiTheme="majorEastAsia" w:hint="eastAsia"/>
        </w:rPr>
        <w:t>表</w:t>
      </w:r>
      <w:r w:rsidR="009A7A99" w:rsidRPr="00253979">
        <w:rPr>
          <w:rFonts w:asciiTheme="majorEastAsia" w:eastAsiaTheme="majorEastAsia" w:hAnsiTheme="majorEastAsia" w:hint="eastAsia"/>
        </w:rPr>
        <w:t>７</w:t>
      </w:r>
      <w:r w:rsidRPr="00253979">
        <w:rPr>
          <w:rFonts w:asciiTheme="majorEastAsia" w:eastAsiaTheme="majorEastAsia" w:hAnsiTheme="majorEastAsia" w:hint="eastAsia"/>
        </w:rPr>
        <w:t>「</w:t>
      </w:r>
      <w:r w:rsidR="009A7A99" w:rsidRPr="00253979">
        <w:rPr>
          <w:rFonts w:asciiTheme="majorEastAsia" w:eastAsiaTheme="majorEastAsia" w:hAnsiTheme="majorEastAsia" w:hint="eastAsia"/>
        </w:rPr>
        <w:t>総量規制超過部分の貸付残高」</w:t>
      </w:r>
    </w:p>
    <w:p w:rsidR="001E16DC" w:rsidRDefault="00253979" w:rsidP="001E16DC">
      <w:pPr>
        <w:ind w:leftChars="100" w:left="210"/>
        <w:rPr>
          <w:rFonts w:asciiTheme="minorEastAsia" w:hAnsiTheme="minorEastAsia"/>
        </w:rPr>
      </w:pPr>
      <w:r w:rsidRPr="001E16DC">
        <w:rPr>
          <w:rFonts w:asciiTheme="minorEastAsia" w:hAnsiTheme="minorEastAsia" w:hint="eastAsia"/>
        </w:rPr>
        <w:t xml:space="preserve">　</w:t>
      </w:r>
      <w:r w:rsidR="009A7A99" w:rsidRPr="001E16DC">
        <w:rPr>
          <w:rFonts w:asciiTheme="minorEastAsia" w:hAnsiTheme="minorEastAsia" w:hint="eastAsia"/>
        </w:rPr>
        <w:t>「件数」</w:t>
      </w:r>
      <w:r w:rsidR="00982862" w:rsidRPr="001E16DC">
        <w:rPr>
          <w:rFonts w:asciiTheme="minorEastAsia" w:hAnsiTheme="minorEastAsia" w:hint="eastAsia"/>
        </w:rPr>
        <w:t>（貸付契約の数）</w:t>
      </w:r>
      <w:r w:rsidR="0077604A" w:rsidRPr="001E16DC">
        <w:rPr>
          <w:rFonts w:asciiTheme="minorEastAsia" w:hAnsiTheme="minorEastAsia" w:hint="eastAsia"/>
        </w:rPr>
        <w:t>ではなく</w:t>
      </w:r>
      <w:r w:rsidR="0077604A" w:rsidRPr="001E16DC">
        <w:rPr>
          <w:rFonts w:asciiTheme="minorEastAsia" w:hAnsiTheme="minorEastAsia" w:hint="eastAsia"/>
          <w:u w:val="single"/>
        </w:rPr>
        <w:t>「先数」（貸付先の数）</w:t>
      </w:r>
      <w:r w:rsidR="0077604A" w:rsidRPr="001E16DC">
        <w:rPr>
          <w:rFonts w:asciiTheme="minorEastAsia" w:hAnsiTheme="minorEastAsia" w:hint="eastAsia"/>
        </w:rPr>
        <w:t>を記載</w:t>
      </w:r>
      <w:r w:rsidR="009A7A99" w:rsidRPr="001E16DC">
        <w:rPr>
          <w:rFonts w:asciiTheme="minorEastAsia" w:hAnsiTheme="minorEastAsia" w:hint="eastAsia"/>
        </w:rPr>
        <w:t>してください。</w:t>
      </w:r>
    </w:p>
    <w:p w:rsidR="009A7A99" w:rsidRPr="001E16DC" w:rsidRDefault="001E16DC" w:rsidP="001E16DC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※　</w:t>
      </w:r>
      <w:r w:rsidR="003D75F8" w:rsidRPr="001E16DC">
        <w:rPr>
          <w:rFonts w:asciiTheme="minorEastAsia" w:hAnsiTheme="minorEastAsia" w:hint="eastAsia"/>
        </w:rPr>
        <w:t>NPOバンク用様式では表２「業種別貸付残高」が該当します。</w:t>
      </w:r>
    </w:p>
    <w:p w:rsidR="003D75F8" w:rsidRPr="00737950" w:rsidRDefault="003D75F8">
      <w:pPr>
        <w:rPr>
          <w:rFonts w:asciiTheme="majorEastAsia" w:eastAsiaTheme="majorEastAsia" w:hAnsiTheme="majorEastAsia"/>
        </w:rPr>
      </w:pPr>
    </w:p>
    <w:p w:rsidR="00253979" w:rsidRPr="00737950" w:rsidRDefault="00982862" w:rsidP="00253979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253979">
        <w:rPr>
          <w:rFonts w:asciiTheme="majorEastAsia" w:eastAsiaTheme="majorEastAsia" w:hAnsiTheme="majorEastAsia" w:hint="eastAsia"/>
        </w:rPr>
        <w:t>表３「貸付金の金額別内訳」、表８「消費者向無担保貸付金の金額別内訳」及び表１０</w:t>
      </w:r>
      <w:r w:rsidRPr="00737950">
        <w:rPr>
          <w:rFonts w:asciiTheme="majorEastAsia" w:eastAsiaTheme="majorEastAsia" w:hAnsiTheme="majorEastAsia" w:hint="eastAsia"/>
        </w:rPr>
        <w:t>「事業者向無担保貸付金の金額別内訳」の各表に</w:t>
      </w:r>
      <w:r w:rsidR="0077604A" w:rsidRPr="00737950">
        <w:rPr>
          <w:rFonts w:asciiTheme="majorEastAsia" w:eastAsiaTheme="majorEastAsia" w:hAnsiTheme="majorEastAsia" w:hint="eastAsia"/>
        </w:rPr>
        <w:t>おける「金額別」</w:t>
      </w:r>
    </w:p>
    <w:p w:rsidR="009A7A99" w:rsidRPr="00737950" w:rsidRDefault="0077604A" w:rsidP="00737950">
      <w:pPr>
        <w:ind w:firstLineChars="200" w:firstLine="420"/>
        <w:rPr>
          <w:rFonts w:asciiTheme="minorEastAsia" w:hAnsiTheme="minorEastAsia"/>
        </w:rPr>
      </w:pPr>
      <w:r w:rsidRPr="00737950">
        <w:rPr>
          <w:rFonts w:asciiTheme="minorEastAsia" w:hAnsiTheme="minorEastAsia" w:hint="eastAsia"/>
        </w:rPr>
        <w:t>貸付け時の金額ベースではなく、</w:t>
      </w:r>
      <w:r w:rsidRPr="00737950">
        <w:rPr>
          <w:rFonts w:asciiTheme="minorEastAsia" w:hAnsiTheme="minorEastAsia" w:hint="eastAsia"/>
          <w:u w:val="single"/>
        </w:rPr>
        <w:t>残高ベース</w:t>
      </w:r>
      <w:r w:rsidRPr="00737950">
        <w:rPr>
          <w:rFonts w:asciiTheme="minorEastAsia" w:hAnsiTheme="minorEastAsia" w:hint="eastAsia"/>
        </w:rPr>
        <w:t>で</w:t>
      </w:r>
      <w:r w:rsidR="00253979" w:rsidRPr="00737950">
        <w:rPr>
          <w:rFonts w:asciiTheme="minorEastAsia" w:hAnsiTheme="minorEastAsia" w:hint="eastAsia"/>
        </w:rPr>
        <w:t>の算出及び</w:t>
      </w:r>
      <w:r w:rsidRPr="00737950">
        <w:rPr>
          <w:rFonts w:asciiTheme="minorEastAsia" w:hAnsiTheme="minorEastAsia" w:hint="eastAsia"/>
        </w:rPr>
        <w:t>記載</w:t>
      </w:r>
      <w:r w:rsidR="00982862" w:rsidRPr="00737950">
        <w:rPr>
          <w:rFonts w:asciiTheme="minorEastAsia" w:hAnsiTheme="minorEastAsia" w:hint="eastAsia"/>
        </w:rPr>
        <w:t>をお願いします。</w:t>
      </w:r>
    </w:p>
    <w:p w:rsidR="00982862" w:rsidRPr="00737950" w:rsidRDefault="00737950" w:rsidP="0073795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※　</w:t>
      </w:r>
      <w:r w:rsidR="003D75F8" w:rsidRPr="00737950">
        <w:rPr>
          <w:rFonts w:asciiTheme="minorEastAsia" w:hAnsiTheme="minorEastAsia" w:hint="eastAsia"/>
        </w:rPr>
        <w:t>NPOバンク用様式では表３「貸付金の金額別内訳」が該当します。</w:t>
      </w:r>
    </w:p>
    <w:p w:rsidR="003D75F8" w:rsidRPr="00737950" w:rsidRDefault="003D75F8">
      <w:pPr>
        <w:rPr>
          <w:rFonts w:asciiTheme="majorEastAsia" w:eastAsiaTheme="majorEastAsia" w:hAnsiTheme="majorEastAsia"/>
        </w:rPr>
      </w:pPr>
    </w:p>
    <w:p w:rsidR="00253979" w:rsidRDefault="0077604A" w:rsidP="00253979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253979">
        <w:rPr>
          <w:rFonts w:asciiTheme="majorEastAsia" w:eastAsiaTheme="majorEastAsia" w:hAnsiTheme="majorEastAsia" w:hint="eastAsia"/>
        </w:rPr>
        <w:t>表６「貸付金の種別残高（除外貸付・例外貸付）」</w:t>
      </w:r>
    </w:p>
    <w:p w:rsidR="004845F0" w:rsidRDefault="00253979" w:rsidP="004845F0">
      <w:pPr>
        <w:ind w:leftChars="100" w:left="210" w:firstLineChars="100" w:firstLine="210"/>
        <w:rPr>
          <w:rFonts w:asciiTheme="minorEastAsia" w:hAnsiTheme="minorEastAsia"/>
        </w:rPr>
      </w:pPr>
      <w:r w:rsidRPr="004845F0">
        <w:rPr>
          <w:rFonts w:asciiTheme="minorEastAsia" w:hAnsiTheme="minorEastAsia" w:hint="eastAsia"/>
        </w:rPr>
        <w:t>表６には</w:t>
      </w:r>
      <w:r w:rsidR="0077604A" w:rsidRPr="004845F0">
        <w:rPr>
          <w:rFonts w:asciiTheme="minorEastAsia" w:hAnsiTheme="minorEastAsia" w:hint="eastAsia"/>
        </w:rPr>
        <w:t>、</w:t>
      </w:r>
      <w:r w:rsidRPr="004845F0">
        <w:rPr>
          <w:rFonts w:asciiTheme="minorEastAsia" w:hAnsiTheme="minorEastAsia" w:hint="eastAsia"/>
        </w:rPr>
        <w:t>貸金業法第１３条の２に規定する個人過剰貸付けの禁止の適用から除外</w:t>
      </w:r>
      <w:r w:rsidR="004845F0">
        <w:rPr>
          <w:rFonts w:asciiTheme="minorEastAsia" w:hAnsiTheme="minorEastAsia" w:hint="eastAsia"/>
        </w:rPr>
        <w:t xml:space="preserve">　</w:t>
      </w:r>
      <w:r w:rsidRPr="004845F0">
        <w:rPr>
          <w:rFonts w:asciiTheme="minorEastAsia" w:hAnsiTheme="minorEastAsia" w:hint="eastAsia"/>
        </w:rPr>
        <w:t>される貸付け及び個人過剰貸付けの例外となる貸付けの残高</w:t>
      </w:r>
      <w:r w:rsidR="004845F0">
        <w:rPr>
          <w:rFonts w:asciiTheme="minorEastAsia" w:hAnsiTheme="minorEastAsia" w:hint="eastAsia"/>
        </w:rPr>
        <w:t>を</w:t>
      </w:r>
      <w:r w:rsidRPr="004845F0">
        <w:rPr>
          <w:rFonts w:asciiTheme="minorEastAsia" w:hAnsiTheme="minorEastAsia" w:hint="eastAsia"/>
        </w:rPr>
        <w:t>記載します。</w:t>
      </w:r>
    </w:p>
    <w:p w:rsidR="0077604A" w:rsidRPr="004845F0" w:rsidRDefault="004758A7" w:rsidP="004845F0">
      <w:pPr>
        <w:ind w:leftChars="100" w:left="210" w:firstLineChars="100" w:firstLine="210"/>
        <w:rPr>
          <w:rFonts w:asciiTheme="minorEastAsia" w:hAnsiTheme="minorEastAsia"/>
        </w:rPr>
      </w:pPr>
      <w:r w:rsidRPr="004845F0">
        <w:rPr>
          <w:rFonts w:asciiTheme="minorEastAsia" w:hAnsiTheme="minorEastAsia" w:hint="eastAsia"/>
          <w:u w:val="single"/>
        </w:rPr>
        <w:t>消費者である個人及び</w:t>
      </w:r>
      <w:r w:rsidR="0077604A" w:rsidRPr="004845F0">
        <w:rPr>
          <w:rFonts w:asciiTheme="minorEastAsia" w:hAnsiTheme="minorEastAsia" w:hint="eastAsia"/>
          <w:u w:val="single"/>
        </w:rPr>
        <w:t>個人事業者</w:t>
      </w:r>
      <w:r w:rsidR="00030551" w:rsidRPr="004845F0">
        <w:rPr>
          <w:rFonts w:asciiTheme="minorEastAsia" w:hAnsiTheme="minorEastAsia" w:hint="eastAsia"/>
          <w:u w:val="single"/>
        </w:rPr>
        <w:t>に対する貸付け</w:t>
      </w:r>
      <w:r w:rsidRPr="004845F0">
        <w:rPr>
          <w:rFonts w:asciiTheme="minorEastAsia" w:hAnsiTheme="minorEastAsia" w:hint="eastAsia"/>
          <w:u w:val="single"/>
        </w:rPr>
        <w:t>は</w:t>
      </w:r>
      <w:r w:rsidR="0077604A" w:rsidRPr="004845F0">
        <w:rPr>
          <w:rFonts w:asciiTheme="minorEastAsia" w:hAnsiTheme="minorEastAsia" w:hint="eastAsia"/>
          <w:u w:val="single"/>
        </w:rPr>
        <w:t>記載</w:t>
      </w:r>
      <w:r w:rsidRPr="004845F0">
        <w:rPr>
          <w:rFonts w:asciiTheme="minorEastAsia" w:hAnsiTheme="minorEastAsia" w:hint="eastAsia"/>
          <w:u w:val="single"/>
        </w:rPr>
        <w:t>対象となりますが、法人に</w:t>
      </w:r>
      <w:r w:rsidR="004845F0">
        <w:rPr>
          <w:rFonts w:asciiTheme="minorEastAsia" w:hAnsiTheme="minorEastAsia" w:hint="eastAsia"/>
          <w:u w:val="single"/>
        </w:rPr>
        <w:t xml:space="preserve">　</w:t>
      </w:r>
      <w:r w:rsidRPr="004845F0">
        <w:rPr>
          <w:rFonts w:asciiTheme="minorEastAsia" w:hAnsiTheme="minorEastAsia" w:hint="eastAsia"/>
          <w:u w:val="single"/>
        </w:rPr>
        <w:t>対する貸付けは記載対象ではありません。</w:t>
      </w:r>
    </w:p>
    <w:p w:rsidR="003D75F8" w:rsidRPr="004845F0" w:rsidRDefault="004845F0" w:rsidP="004845F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※　</w:t>
      </w:r>
      <w:r w:rsidR="003D75F8" w:rsidRPr="004845F0">
        <w:rPr>
          <w:rFonts w:asciiTheme="minorEastAsia" w:hAnsiTheme="minorEastAsia" w:hint="eastAsia"/>
        </w:rPr>
        <w:t>NPOバンク用様式では該当ありません。</w:t>
      </w:r>
    </w:p>
    <w:p w:rsidR="003D75F8" w:rsidRPr="004845F0" w:rsidRDefault="003D75F8">
      <w:pPr>
        <w:rPr>
          <w:rFonts w:asciiTheme="majorEastAsia" w:eastAsiaTheme="majorEastAsia" w:hAnsiTheme="majorEastAsia"/>
        </w:rPr>
      </w:pPr>
    </w:p>
    <w:p w:rsidR="00253979" w:rsidRDefault="00DF2B8F" w:rsidP="00253979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253979">
        <w:rPr>
          <w:rFonts w:asciiTheme="majorEastAsia" w:eastAsiaTheme="majorEastAsia" w:hAnsiTheme="majorEastAsia" w:hint="eastAsia"/>
        </w:rPr>
        <w:t>表</w:t>
      </w:r>
      <w:r w:rsidR="001711FA">
        <w:rPr>
          <w:rFonts w:asciiTheme="majorEastAsia" w:eastAsiaTheme="majorEastAsia" w:hAnsiTheme="majorEastAsia" w:hint="eastAsia"/>
        </w:rPr>
        <w:t>１０「事業者向け無担保貸付金の金額別内訳」及び表１１「事業者向</w:t>
      </w:r>
      <w:r w:rsidRPr="00253979">
        <w:rPr>
          <w:rFonts w:asciiTheme="majorEastAsia" w:eastAsiaTheme="majorEastAsia" w:hAnsiTheme="majorEastAsia" w:hint="eastAsia"/>
        </w:rPr>
        <w:t>無担保貸付金の金利別内訳」</w:t>
      </w:r>
    </w:p>
    <w:p w:rsidR="009A7A99" w:rsidRPr="004845F0" w:rsidRDefault="00DF2B8F" w:rsidP="004845F0">
      <w:pPr>
        <w:ind w:firstLineChars="200" w:firstLine="420"/>
        <w:rPr>
          <w:rFonts w:asciiTheme="minorEastAsia" w:hAnsiTheme="minorEastAsia"/>
        </w:rPr>
      </w:pPr>
      <w:r w:rsidRPr="004845F0">
        <w:rPr>
          <w:rFonts w:asciiTheme="minorEastAsia" w:hAnsiTheme="minorEastAsia" w:hint="eastAsia"/>
        </w:rPr>
        <w:t>関係会社向の無担保の貸付けは含ま</w:t>
      </w:r>
      <w:r w:rsidR="004845F0">
        <w:rPr>
          <w:rFonts w:asciiTheme="minorEastAsia" w:hAnsiTheme="minorEastAsia" w:hint="eastAsia"/>
        </w:rPr>
        <w:t>ずに算出して</w:t>
      </w:r>
      <w:r w:rsidRPr="004845F0">
        <w:rPr>
          <w:rFonts w:asciiTheme="minorEastAsia" w:hAnsiTheme="minorEastAsia" w:hint="eastAsia"/>
        </w:rPr>
        <w:t>ください。</w:t>
      </w:r>
    </w:p>
    <w:p w:rsidR="003D75F8" w:rsidRPr="004845F0" w:rsidRDefault="004845F0" w:rsidP="004845F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※　</w:t>
      </w:r>
      <w:r w:rsidR="003D75F8" w:rsidRPr="004845F0">
        <w:rPr>
          <w:rFonts w:asciiTheme="minorEastAsia" w:hAnsiTheme="minorEastAsia" w:hint="eastAsia"/>
        </w:rPr>
        <w:t>NPOバンク用様式では該当ありません。</w:t>
      </w:r>
    </w:p>
    <w:p w:rsidR="00DF2B8F" w:rsidRPr="004845F0" w:rsidRDefault="00DF2B8F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DF2B8F" w:rsidRPr="004845F0" w:rsidSect="00636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4A" w:rsidRDefault="0077604A" w:rsidP="00F54B3F">
      <w:r>
        <w:separator/>
      </w:r>
    </w:p>
  </w:endnote>
  <w:endnote w:type="continuationSeparator" w:id="0">
    <w:p w:rsidR="0077604A" w:rsidRDefault="0077604A" w:rsidP="00F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4A" w:rsidRDefault="0077604A" w:rsidP="00F54B3F">
      <w:r>
        <w:separator/>
      </w:r>
    </w:p>
  </w:footnote>
  <w:footnote w:type="continuationSeparator" w:id="0">
    <w:p w:rsidR="0077604A" w:rsidRDefault="0077604A" w:rsidP="00F5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A2963"/>
    <w:multiLevelType w:val="hybridMultilevel"/>
    <w:tmpl w:val="D0DAC640"/>
    <w:lvl w:ilvl="0" w:tplc="BA7825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C63F7"/>
    <w:multiLevelType w:val="hybridMultilevel"/>
    <w:tmpl w:val="7D521FAE"/>
    <w:lvl w:ilvl="0" w:tplc="BA7825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F60875"/>
    <w:multiLevelType w:val="hybridMultilevel"/>
    <w:tmpl w:val="41607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DE2C6B"/>
    <w:multiLevelType w:val="hybridMultilevel"/>
    <w:tmpl w:val="8D28A6B4"/>
    <w:lvl w:ilvl="0" w:tplc="BA7825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EF37CF"/>
    <w:multiLevelType w:val="hybridMultilevel"/>
    <w:tmpl w:val="1BA04F72"/>
    <w:lvl w:ilvl="0" w:tplc="BA7825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47CBA3A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E5"/>
    <w:rsid w:val="00030551"/>
    <w:rsid w:val="001711FA"/>
    <w:rsid w:val="001E16DC"/>
    <w:rsid w:val="00253979"/>
    <w:rsid w:val="00254533"/>
    <w:rsid w:val="002E1047"/>
    <w:rsid w:val="0035183D"/>
    <w:rsid w:val="003B21DF"/>
    <w:rsid w:val="003D75F8"/>
    <w:rsid w:val="004758A7"/>
    <w:rsid w:val="004845F0"/>
    <w:rsid w:val="005F62E5"/>
    <w:rsid w:val="00636185"/>
    <w:rsid w:val="006F4C20"/>
    <w:rsid w:val="00737950"/>
    <w:rsid w:val="0077604A"/>
    <w:rsid w:val="007B13DE"/>
    <w:rsid w:val="007D7FF9"/>
    <w:rsid w:val="00982862"/>
    <w:rsid w:val="009A7A99"/>
    <w:rsid w:val="009E418B"/>
    <w:rsid w:val="00A33874"/>
    <w:rsid w:val="00A60F2B"/>
    <w:rsid w:val="00DB0817"/>
    <w:rsid w:val="00DB0F1F"/>
    <w:rsid w:val="00DF2B8F"/>
    <w:rsid w:val="00E77302"/>
    <w:rsid w:val="00EE1306"/>
    <w:rsid w:val="00EE13E3"/>
    <w:rsid w:val="00F54B3F"/>
    <w:rsid w:val="00F65FA3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CC823A2-ED0D-475E-92D3-049E070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B3F"/>
  </w:style>
  <w:style w:type="paragraph" w:styleId="a5">
    <w:name w:val="footer"/>
    <w:basedOn w:val="a"/>
    <w:link w:val="a6"/>
    <w:uiPriority w:val="99"/>
    <w:unhideWhenUsed/>
    <w:rsid w:val="00F54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B3F"/>
  </w:style>
  <w:style w:type="paragraph" w:styleId="a7">
    <w:name w:val="List Paragraph"/>
    <w:basedOn w:val="a"/>
    <w:uiPriority w:val="34"/>
    <w:qFormat/>
    <w:rsid w:val="00253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6</cp:revision>
  <cp:lastPrinted>2015-04-06T06:30:00Z</cp:lastPrinted>
  <dcterms:created xsi:type="dcterms:W3CDTF">2021-01-21T11:17:00Z</dcterms:created>
  <dcterms:modified xsi:type="dcterms:W3CDTF">2025-04-08T09:55:00Z</dcterms:modified>
</cp:coreProperties>
</file>